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rPr>
          <w:sz w:val="26"/>
          <w:szCs w:val="26"/>
        </w:rPr>
      </w:pPr>
    </w:p>
    <w:p>
      <w:pPr>
        <w:widowControl w:val="0"/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РЕЗОЛЮТИВНАЯ ЧАСТЬ РЕШЕНИЯ</w:t>
      </w:r>
    </w:p>
    <w:p>
      <w:pPr>
        <w:widowControl w:val="0"/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ИМЕНЕМ РОССИЙСКОЙ ФЕДЕРАЦИИ</w:t>
      </w:r>
    </w:p>
    <w:p>
      <w:pPr>
        <w:widowControl w:val="0"/>
        <w:spacing w:before="0" w:after="0"/>
        <w:ind w:firstLine="709"/>
        <w:jc w:val="center"/>
        <w:rPr>
          <w:sz w:val="26"/>
          <w:szCs w:val="26"/>
        </w:rPr>
      </w:pPr>
    </w:p>
    <w:p>
      <w:pPr>
        <w:widowControl w:val="0"/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г.Ханты-Мансийск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</w:t>
      </w:r>
      <w:r>
        <w:rPr>
          <w:rFonts w:ascii="Times New Roman" w:eastAsia="Times New Roman" w:hAnsi="Times New Roman" w:cs="Times New Roman"/>
          <w:sz w:val="26"/>
          <w:szCs w:val="26"/>
        </w:rPr>
        <w:t>04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июня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2024 года</w:t>
      </w:r>
    </w:p>
    <w:p>
      <w:pPr>
        <w:widowControl w:val="0"/>
        <w:spacing w:before="0" w:after="0"/>
        <w:ind w:firstLine="709"/>
        <w:jc w:val="both"/>
        <w:rPr>
          <w:sz w:val="26"/>
          <w:szCs w:val="26"/>
        </w:rPr>
      </w:pPr>
    </w:p>
    <w:p>
      <w:pPr>
        <w:widowControl w:val="0"/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 судебного участка №3 Ханты-Мансийского судебного района Ханты-Мансийского автономного округа - Югры Миненко Ю.Б.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секретаре судебных заседаний Бекетовой Н.И.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 участием ответчика </w:t>
      </w:r>
      <w:r>
        <w:rPr>
          <w:rFonts w:ascii="Times New Roman" w:eastAsia="Times New Roman" w:hAnsi="Times New Roman" w:cs="Times New Roman"/>
          <w:sz w:val="26"/>
          <w:szCs w:val="26"/>
        </w:rPr>
        <w:t>Руппеля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А.А.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рассмотрев в открытом судебном з</w:t>
      </w:r>
      <w:r>
        <w:rPr>
          <w:rFonts w:ascii="Times New Roman" w:eastAsia="Times New Roman" w:hAnsi="Times New Roman" w:cs="Times New Roman"/>
          <w:sz w:val="26"/>
          <w:szCs w:val="26"/>
        </w:rPr>
        <w:t>аседании гражданское дело №2-791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-2803/2024 по иску Югорского фонда капитального ремонта многоквартирных домов к </w:t>
      </w:r>
      <w:r>
        <w:rPr>
          <w:rFonts w:ascii="Times New Roman" w:eastAsia="Times New Roman" w:hAnsi="Times New Roman" w:cs="Times New Roman"/>
          <w:sz w:val="26"/>
          <w:szCs w:val="26"/>
        </w:rPr>
        <w:t>Руппель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Александру Александровичу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взыскании задолженности по взносам на капитальный ремонт общего имущества в многоквартирном доме, пени и судебных расходов,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руководствуясь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4" w:anchor="/document/12128809/entry/194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статьями 194-198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Гражданского процессуального кодекса Российской Федерации, суд</w:t>
      </w:r>
    </w:p>
    <w:p>
      <w:pPr>
        <w:spacing w:before="0" w:after="0"/>
        <w:ind w:firstLine="709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РЕШИЛ:</w:t>
      </w:r>
    </w:p>
    <w:p>
      <w:pPr>
        <w:spacing w:before="0" w:after="0"/>
        <w:ind w:firstLine="709"/>
        <w:jc w:val="both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исковое заявление Югорского фонда капитального ремонта многоквартирных домов (ИНН8601999247, ОГРН: 1138600001693) к </w:t>
      </w:r>
      <w:r>
        <w:rPr>
          <w:rFonts w:ascii="Times New Roman" w:eastAsia="Times New Roman" w:hAnsi="Times New Roman" w:cs="Times New Roman"/>
          <w:sz w:val="26"/>
          <w:szCs w:val="26"/>
        </w:rPr>
        <w:t>Руппелю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Александру Александровичу (</w:t>
      </w:r>
      <w:r>
        <w:rPr>
          <w:rStyle w:val="cat-PassportDatagrp-18rplc-9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>) о взыскании задолженности по взносам на капитальный ремонт удовлетворить частично.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Взыскать с </w:t>
      </w:r>
      <w:r>
        <w:rPr>
          <w:rFonts w:ascii="Times New Roman" w:eastAsia="Times New Roman" w:hAnsi="Times New Roman" w:cs="Times New Roman"/>
          <w:sz w:val="26"/>
          <w:szCs w:val="26"/>
        </w:rPr>
        <w:t>Руппеля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Александра Александровича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пользу Югорского фонда капитального ремонта многоквартирных домов денежные средства в размере </w:t>
      </w:r>
      <w:r>
        <w:rPr>
          <w:rStyle w:val="cat-Sumgrp-14rplc-11"/>
          <w:rFonts w:ascii="Times New Roman" w:eastAsia="Times New Roman" w:hAnsi="Times New Roman" w:cs="Times New Roman"/>
          <w:sz w:val="26"/>
          <w:szCs w:val="26"/>
        </w:rPr>
        <w:t>сумма</w:t>
      </w:r>
      <w:r>
        <w:rPr>
          <w:rFonts w:ascii="Times New Roman" w:eastAsia="Times New Roman" w:hAnsi="Times New Roman" w:cs="Times New Roman"/>
          <w:sz w:val="26"/>
          <w:szCs w:val="26"/>
        </w:rPr>
        <w:t>, в том числе: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Style w:val="cat-Sumgrp-15rplc-12"/>
          <w:rFonts w:ascii="Times New Roman" w:eastAsia="Times New Roman" w:hAnsi="Times New Roman" w:cs="Times New Roman"/>
          <w:sz w:val="26"/>
          <w:szCs w:val="26"/>
        </w:rPr>
        <w:t>сумма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-задолженность по взносам на капитальный ремонт за период с </w:t>
      </w:r>
      <w:r>
        <w:rPr>
          <w:rFonts w:ascii="Times New Roman" w:eastAsia="Times New Roman" w:hAnsi="Times New Roman" w:cs="Times New Roman"/>
          <w:sz w:val="26"/>
          <w:szCs w:val="26"/>
        </w:rPr>
        <w:t>01.08.2020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30.04.2023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Style w:val="cat-Sumgrp-16rplc-16"/>
          <w:rFonts w:ascii="Times New Roman" w:eastAsia="Times New Roman" w:hAnsi="Times New Roman" w:cs="Times New Roman"/>
          <w:sz w:val="26"/>
          <w:szCs w:val="26"/>
        </w:rPr>
        <w:t>сумма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- пени за несвоевременную оплату взносов на капитальный ремонт за период с </w:t>
      </w:r>
      <w:r>
        <w:rPr>
          <w:rFonts w:ascii="Times New Roman" w:eastAsia="Times New Roman" w:hAnsi="Times New Roman" w:cs="Times New Roman"/>
          <w:sz w:val="26"/>
          <w:szCs w:val="26"/>
        </w:rPr>
        <w:t>11.10</w:t>
      </w:r>
      <w:r>
        <w:rPr>
          <w:rFonts w:ascii="Times New Roman" w:eastAsia="Times New Roman" w:hAnsi="Times New Roman" w:cs="Times New Roman"/>
          <w:sz w:val="26"/>
          <w:szCs w:val="26"/>
        </w:rPr>
        <w:t>.2020 по 15.05.2023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порядке распределения судебных расходов взыскать с </w:t>
      </w:r>
      <w:r>
        <w:rPr>
          <w:rFonts w:ascii="Times New Roman" w:eastAsia="Times New Roman" w:hAnsi="Times New Roman" w:cs="Times New Roman"/>
          <w:sz w:val="26"/>
          <w:szCs w:val="26"/>
        </w:rPr>
        <w:t>Руппеля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Александра Александровича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пользу Югорского фонда капитального ремонта многоквартирных домов расходы по оплате государственной пошлины в размере </w:t>
      </w:r>
      <w:r>
        <w:rPr>
          <w:rStyle w:val="cat-Sumgrp-17rplc-20"/>
          <w:rFonts w:ascii="Times New Roman" w:eastAsia="Times New Roman" w:hAnsi="Times New Roman" w:cs="Times New Roman"/>
          <w:sz w:val="26"/>
          <w:szCs w:val="26"/>
        </w:rPr>
        <w:t>сумма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остальной части исковых требований отказать.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Решение может быть обжаловано в Ханты-Мансийский районный суд путем подачи жалобы мировому судье в течение месяца со дня принятия мировым судьей решения.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 может не составлять мотивированное решение суда по рассмотренному им делу. Мотивированное решение суда составляется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widowControl w:val="0"/>
        <w:spacing w:before="0" w:after="0"/>
        <w:jc w:val="both"/>
        <w:rPr>
          <w:sz w:val="26"/>
          <w:szCs w:val="26"/>
        </w:rPr>
      </w:pPr>
    </w:p>
    <w:p>
      <w:pPr>
        <w:widowControl w:val="0"/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>Ю.Б.Миненко</w:t>
      </w:r>
    </w:p>
    <w:p>
      <w:pPr>
        <w:widowControl w:val="0"/>
        <w:spacing w:before="0" w:after="0"/>
        <w:jc w:val="both"/>
        <w:rPr>
          <w:sz w:val="26"/>
          <w:szCs w:val="26"/>
        </w:rPr>
      </w:pPr>
    </w:p>
    <w:p>
      <w:pPr>
        <w:widowControl w:val="0"/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Копия верна:</w:t>
      </w:r>
    </w:p>
    <w:p>
      <w:pPr>
        <w:widowControl w:val="0"/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Ю.Б.Миненко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18rplc-9">
    <w:name w:val="cat-PassportData grp-18 rplc-9"/>
    <w:basedOn w:val="DefaultParagraphFont"/>
  </w:style>
  <w:style w:type="character" w:customStyle="1" w:styleId="cat-Sumgrp-14rplc-11">
    <w:name w:val="cat-Sum grp-14 rplc-11"/>
    <w:basedOn w:val="DefaultParagraphFont"/>
  </w:style>
  <w:style w:type="character" w:customStyle="1" w:styleId="cat-Sumgrp-15rplc-12">
    <w:name w:val="cat-Sum grp-15 rplc-12"/>
    <w:basedOn w:val="DefaultParagraphFont"/>
  </w:style>
  <w:style w:type="character" w:customStyle="1" w:styleId="cat-Sumgrp-16rplc-16">
    <w:name w:val="cat-Sum grp-16 rplc-16"/>
    <w:basedOn w:val="DefaultParagraphFont"/>
  </w:style>
  <w:style w:type="character" w:customStyle="1" w:styleId="cat-Sumgrp-17rplc-20">
    <w:name w:val="cat-Sum grp-17 rplc-2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arbitr.garant.ru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